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448" w:rsidRPr="00E75448" w:rsidRDefault="00E75448" w:rsidP="00E75448">
      <w:pPr>
        <w:rPr>
          <w:rFonts w:ascii="DejaVu Serif" w:hAnsi="DejaVu Serif"/>
          <w:sz w:val="24"/>
          <w:szCs w:val="24"/>
        </w:rPr>
      </w:pPr>
      <w:r>
        <w:rPr>
          <w:rFonts w:ascii="DejaVu Serif" w:hAnsi="DejaVu Serif"/>
          <w:sz w:val="24"/>
          <w:szCs w:val="24"/>
        </w:rPr>
        <w:t xml:space="preserve">                                                                                         Köln, Januar 2025</w:t>
      </w:r>
    </w:p>
    <w:p w:rsidR="0054718E" w:rsidRPr="00741850" w:rsidRDefault="00E75448" w:rsidP="00E75448">
      <w:pPr>
        <w:jc w:val="center"/>
        <w:rPr>
          <w:rFonts w:ascii="DejaVu Serif" w:hAnsi="DejaVu Serif"/>
          <w:b/>
          <w:sz w:val="70"/>
          <w:szCs w:val="70"/>
        </w:rPr>
      </w:pPr>
      <w:r w:rsidRPr="00741850">
        <w:rPr>
          <w:rFonts w:ascii="DejaVu Serif" w:hAnsi="DejaVu Serif"/>
          <w:b/>
          <w:sz w:val="70"/>
          <w:szCs w:val="70"/>
        </w:rPr>
        <w:t xml:space="preserve">Negativbeispiel MS </w:t>
      </w:r>
      <w:bookmarkStart w:id="0" w:name="_GoBack"/>
      <w:bookmarkEnd w:id="0"/>
      <w:r w:rsidRPr="00741850">
        <w:rPr>
          <w:rFonts w:ascii="DejaVu Serif" w:hAnsi="DejaVu Serif"/>
          <w:b/>
          <w:sz w:val="70"/>
          <w:szCs w:val="70"/>
        </w:rPr>
        <w:t>Office Word</w:t>
      </w:r>
    </w:p>
    <w:p w:rsidR="00E75448" w:rsidRPr="00E75448" w:rsidRDefault="00E75448" w:rsidP="00E75448">
      <w:pPr>
        <w:rPr>
          <w:rFonts w:ascii="DejaVu Serif" w:eastAsia="Times New Roman" w:hAnsi="DejaVu Serif" w:cs="Times New Roman"/>
          <w:b/>
          <w:bCs/>
          <w:color w:val="E7E6E6" w:themeColor="background2"/>
          <w:sz w:val="36"/>
          <w:szCs w:val="36"/>
          <w:lang w:eastAsia="de-DE"/>
        </w:rPr>
      </w:pPr>
      <w:r>
        <w:rPr>
          <w:rFonts w:ascii="DejaVu Serif" w:eastAsia="Times New Roman" w:hAnsi="DejaVu Serif" w:cs="Times New Roman"/>
          <w:b/>
          <w:bCs/>
          <w:sz w:val="36"/>
          <w:szCs w:val="36"/>
          <w:lang w:eastAsia="de-DE"/>
        </w:rPr>
        <w:t xml:space="preserve">     </w:t>
      </w:r>
      <w:r w:rsidRPr="00E75448">
        <w:rPr>
          <w:rFonts w:ascii="DejaVu Serif" w:eastAsia="Times New Roman" w:hAnsi="DejaVu Serif" w:cs="Times New Roman"/>
          <w:b/>
          <w:bCs/>
          <w:color w:val="E7E6E6" w:themeColor="background2"/>
          <w:sz w:val="36"/>
          <w:szCs w:val="36"/>
          <w:lang w:eastAsia="de-DE"/>
        </w:rPr>
        <w:t>Die Bedeutung der Inklusion im</w:t>
      </w:r>
      <w:r w:rsidRPr="00E75448">
        <w:rPr>
          <w:rFonts w:ascii="DejaVu Serif" w:eastAsia="Times New Roman" w:hAnsi="DejaVu Serif" w:cs="Times New Roman"/>
          <w:b/>
          <w:bCs/>
          <w:color w:val="E7E6E6" w:themeColor="background2"/>
          <w:sz w:val="36"/>
          <w:szCs w:val="36"/>
          <w:lang w:eastAsia="de-DE"/>
        </w:rPr>
        <w:br/>
        <w:t xml:space="preserve">     deutschen Schulsystem</w:t>
      </w:r>
    </w:p>
    <w:p w:rsidR="00E75448" w:rsidRPr="00E75448" w:rsidRDefault="00E75448" w:rsidP="00E75448">
      <w:pPr>
        <w:rPr>
          <w:rFonts w:ascii="DejaVu Serif" w:eastAsia="Times New Roman" w:hAnsi="DejaVu Serif" w:cs="Times New Roman"/>
          <w:sz w:val="24"/>
          <w:szCs w:val="24"/>
          <w:lang w:eastAsia="de-DE"/>
        </w:rPr>
      </w:pPr>
      <w:r>
        <w:rPr>
          <w:rFonts w:ascii="DejaVu Serif" w:eastAsia="Times New Roman" w:hAnsi="DejaVu Serif" w:cs="Times New Roman"/>
          <w:sz w:val="24"/>
          <w:szCs w:val="24"/>
          <w:lang w:eastAsia="de-DE"/>
        </w:rPr>
        <w:t xml:space="preserve">     </w:t>
      </w:r>
      <w:r w:rsidRPr="00E75448">
        <w:rPr>
          <w:rFonts w:ascii="DejaVu Serif" w:eastAsia="Times New Roman" w:hAnsi="DejaVu Serif" w:cs="Times New Roman"/>
          <w:sz w:val="24"/>
          <w:szCs w:val="24"/>
          <w:lang w:eastAsia="de-DE"/>
        </w:rPr>
        <w:t xml:space="preserve">Die </w:t>
      </w:r>
      <w:r w:rsidRPr="00466803">
        <w:rPr>
          <w:rFonts w:ascii="DejaVu Serif" w:eastAsia="Times New Roman" w:hAnsi="DejaVu Serif" w:cs="Times New Roman"/>
          <w:i/>
          <w:sz w:val="24"/>
          <w:szCs w:val="24"/>
          <w:lang w:eastAsia="de-DE"/>
        </w:rPr>
        <w:t>Implementierung der Inklusion</w:t>
      </w:r>
      <w:r w:rsidRPr="00E75448">
        <w:rPr>
          <w:rFonts w:ascii="DejaVu Serif" w:eastAsia="Times New Roman" w:hAnsi="DejaVu Serif" w:cs="Times New Roman"/>
          <w:sz w:val="24"/>
          <w:szCs w:val="24"/>
          <w:lang w:eastAsia="de-DE"/>
        </w:rPr>
        <w:t xml:space="preserve">, die seit der Ratifizierung der </w:t>
      </w:r>
      <w:r w:rsidRPr="00466803">
        <w:rPr>
          <w:rFonts w:ascii="DejaVu Serif" w:eastAsia="Times New Roman" w:hAnsi="DejaVu Serif" w:cs="Times New Roman"/>
          <w:b/>
          <w:sz w:val="24"/>
          <w:szCs w:val="24"/>
          <w:lang w:eastAsia="de-DE"/>
        </w:rPr>
        <w:t>UN-Behindertenrechtskonvention im Jahr 2009</w:t>
      </w:r>
      <w:r w:rsidRPr="00E75448">
        <w:rPr>
          <w:rFonts w:ascii="DejaVu Serif" w:eastAsia="Times New Roman" w:hAnsi="DejaVu Serif" w:cs="Times New Roman"/>
          <w:sz w:val="24"/>
          <w:szCs w:val="24"/>
          <w:lang w:eastAsia="de-DE"/>
        </w:rPr>
        <w:t xml:space="preserve"> als verpflichtend gilt, wird als essenzieller Bestandteil des deutschen Bildungssystems angesehen. Sie verfolgt das Ziel, allen Schülerinnen und Schülern </w:t>
      </w:r>
      <w:r w:rsidRPr="00466803">
        <w:rPr>
          <w:rFonts w:ascii="DejaVu Serif" w:eastAsia="Times New Roman" w:hAnsi="DejaVu Serif" w:cs="Times New Roman"/>
          <w:b/>
          <w:i/>
          <w:sz w:val="24"/>
          <w:szCs w:val="24"/>
          <w:lang w:eastAsia="de-DE"/>
        </w:rPr>
        <w:t>unabhängig von ihren individuellen Fähigkeiten oder Einschränkungen</w:t>
      </w:r>
      <w:r w:rsidRPr="00E75448">
        <w:rPr>
          <w:rFonts w:ascii="DejaVu Serif" w:eastAsia="Times New Roman" w:hAnsi="DejaVu Serif" w:cs="Times New Roman"/>
          <w:sz w:val="24"/>
          <w:szCs w:val="24"/>
          <w:lang w:eastAsia="de-DE"/>
        </w:rPr>
        <w:t xml:space="preserve"> die </w:t>
      </w:r>
      <w:r w:rsidRPr="00466803">
        <w:rPr>
          <w:rFonts w:ascii="DejaVu Serif" w:eastAsia="Times New Roman" w:hAnsi="DejaVu Serif" w:cs="Times New Roman"/>
          <w:b/>
          <w:sz w:val="24"/>
          <w:szCs w:val="24"/>
          <w:lang w:eastAsia="de-DE"/>
        </w:rPr>
        <w:t>gleichberechtigte</w:t>
      </w:r>
      <w:r w:rsidRPr="00E75448">
        <w:rPr>
          <w:rFonts w:ascii="DejaVu Serif" w:eastAsia="Times New Roman" w:hAnsi="DejaVu Serif" w:cs="Times New Roman"/>
          <w:sz w:val="24"/>
          <w:szCs w:val="24"/>
          <w:lang w:eastAsia="de-DE"/>
        </w:rPr>
        <w:t xml:space="preserve"> Teilhabe am schulischen Lernen zu ermöglichen. Dabei wird insbesondere die Heterogenität der Schülerschaft als zentrale Herausforderung genannt, die eine </w:t>
      </w:r>
      <w:r w:rsidRPr="00466803">
        <w:rPr>
          <w:rFonts w:ascii="DejaVu Serif" w:eastAsia="Times New Roman" w:hAnsi="DejaVu Serif" w:cs="Times New Roman"/>
          <w:i/>
          <w:sz w:val="24"/>
          <w:szCs w:val="24"/>
          <w:lang w:eastAsia="de-DE"/>
        </w:rPr>
        <w:t>Anpassung der pädagogischen Konzepte und Lehrmethoden</w:t>
      </w:r>
      <w:r w:rsidRPr="00E75448">
        <w:rPr>
          <w:rFonts w:ascii="DejaVu Serif" w:eastAsia="Times New Roman" w:hAnsi="DejaVu Serif" w:cs="Times New Roman"/>
          <w:sz w:val="24"/>
          <w:szCs w:val="24"/>
          <w:lang w:eastAsia="de-DE"/>
        </w:rPr>
        <w:t xml:space="preserve"> erforderlich macht.</w:t>
      </w:r>
    </w:p>
    <w:p w:rsidR="00E75448" w:rsidRPr="00E75448" w:rsidRDefault="00E75448" w:rsidP="00E75448">
      <w:pPr>
        <w:rPr>
          <w:rFonts w:ascii="DejaVu Serif" w:eastAsia="Times New Roman" w:hAnsi="DejaVu Serif" w:cs="Times New Roman"/>
          <w:b/>
          <w:bCs/>
          <w:color w:val="FF0000"/>
          <w:sz w:val="36"/>
          <w:szCs w:val="36"/>
          <w:lang w:eastAsia="de-DE"/>
        </w:rPr>
      </w:pPr>
      <w:r>
        <w:rPr>
          <w:rFonts w:ascii="DejaVu Serif" w:eastAsia="Times New Roman" w:hAnsi="DejaVu Serif" w:cs="Times New Roman"/>
          <w:b/>
          <w:bCs/>
          <w:sz w:val="36"/>
          <w:szCs w:val="36"/>
          <w:lang w:eastAsia="de-DE"/>
        </w:rPr>
        <w:t xml:space="preserve">     </w:t>
      </w:r>
      <w:r w:rsidRPr="00E75448">
        <w:rPr>
          <w:rFonts w:ascii="DejaVu Serif" w:eastAsia="Times New Roman" w:hAnsi="DejaVu Serif" w:cs="Times New Roman"/>
          <w:b/>
          <w:bCs/>
          <w:color w:val="FF0000"/>
          <w:sz w:val="36"/>
          <w:szCs w:val="36"/>
          <w:lang w:eastAsia="de-DE"/>
        </w:rPr>
        <w:t>Herausforderungen und notwendige</w:t>
      </w:r>
      <w:r w:rsidRPr="00E75448">
        <w:rPr>
          <w:rFonts w:ascii="DejaVu Serif" w:eastAsia="Times New Roman" w:hAnsi="DejaVu Serif" w:cs="Times New Roman"/>
          <w:b/>
          <w:bCs/>
          <w:color w:val="FF0000"/>
          <w:sz w:val="36"/>
          <w:szCs w:val="36"/>
          <w:lang w:eastAsia="de-DE"/>
        </w:rPr>
        <w:br/>
        <w:t xml:space="preserve">     Ressourcen</w:t>
      </w:r>
    </w:p>
    <w:p w:rsidR="00E75448" w:rsidRPr="00E75448" w:rsidRDefault="00E75448" w:rsidP="00E75448">
      <w:pPr>
        <w:rPr>
          <w:rFonts w:ascii="DejaVu Serif" w:eastAsia="Times New Roman" w:hAnsi="DejaVu Serif" w:cs="Times New Roman"/>
          <w:sz w:val="24"/>
          <w:szCs w:val="24"/>
          <w:lang w:eastAsia="de-DE"/>
        </w:rPr>
      </w:pPr>
      <w:r>
        <w:rPr>
          <w:rFonts w:ascii="DejaVu Serif" w:eastAsia="Times New Roman" w:hAnsi="DejaVu Serif" w:cs="Times New Roman"/>
          <w:sz w:val="24"/>
          <w:szCs w:val="24"/>
          <w:lang w:eastAsia="de-DE"/>
        </w:rPr>
        <w:t xml:space="preserve">     </w:t>
      </w:r>
      <w:r w:rsidRPr="00E75448">
        <w:rPr>
          <w:rFonts w:ascii="DejaVu Serif" w:eastAsia="Times New Roman" w:hAnsi="DejaVu Serif" w:cs="Times New Roman"/>
          <w:sz w:val="24"/>
          <w:szCs w:val="24"/>
          <w:lang w:eastAsia="de-DE"/>
        </w:rPr>
        <w:t xml:space="preserve">Die </w:t>
      </w:r>
      <w:r w:rsidRPr="00466803">
        <w:rPr>
          <w:rFonts w:ascii="DejaVu Serif" w:eastAsia="Times New Roman" w:hAnsi="DejaVu Serif" w:cs="Times New Roman"/>
          <w:i/>
          <w:sz w:val="24"/>
          <w:szCs w:val="24"/>
          <w:lang w:eastAsia="de-DE"/>
        </w:rPr>
        <w:t>erfolgreiche Umsetzung der Inklusion</w:t>
      </w:r>
      <w:r w:rsidRPr="00E75448">
        <w:rPr>
          <w:rFonts w:ascii="DejaVu Serif" w:eastAsia="Times New Roman" w:hAnsi="DejaVu Serif" w:cs="Times New Roman"/>
          <w:sz w:val="24"/>
          <w:szCs w:val="24"/>
          <w:lang w:eastAsia="de-DE"/>
        </w:rPr>
        <w:t xml:space="preserve"> ist durch vielfältige strukturelle und personelle Faktoren geprägt, die bewältigt werden müssen. Zu den wichtigsten Voraussetzungen zählt die </w:t>
      </w:r>
      <w:r w:rsidRPr="00466803">
        <w:rPr>
          <w:rFonts w:ascii="DejaVu Serif" w:eastAsia="Times New Roman" w:hAnsi="DejaVu Serif" w:cs="Times New Roman"/>
          <w:b/>
          <w:sz w:val="24"/>
          <w:szCs w:val="24"/>
          <w:lang w:eastAsia="de-DE"/>
        </w:rPr>
        <w:t>Bereitstellung ausreichender Ressourcen, insbesondere in Form von qualifizierten Lehrkräften, spezialisierten Fachkräften und unterstützenden Angeboten</w:t>
      </w:r>
      <w:r w:rsidRPr="00E75448">
        <w:rPr>
          <w:rFonts w:ascii="DejaVu Serif" w:eastAsia="Times New Roman" w:hAnsi="DejaVu Serif" w:cs="Times New Roman"/>
          <w:sz w:val="24"/>
          <w:szCs w:val="24"/>
          <w:lang w:eastAsia="de-DE"/>
        </w:rPr>
        <w:t xml:space="preserve">. Zudem wird die interdisziplinäre </w:t>
      </w:r>
      <w:r w:rsidRPr="00466803">
        <w:rPr>
          <w:rFonts w:ascii="DejaVu Serif" w:eastAsia="Times New Roman" w:hAnsi="DejaVu Serif" w:cs="Times New Roman"/>
          <w:i/>
          <w:sz w:val="24"/>
          <w:szCs w:val="24"/>
          <w:lang w:eastAsia="de-DE"/>
        </w:rPr>
        <w:t>Zusammenarbeit zwischen unterschiedlichen Professionen</w:t>
      </w:r>
      <w:r w:rsidRPr="00E75448">
        <w:rPr>
          <w:rFonts w:ascii="DejaVu Serif" w:eastAsia="Times New Roman" w:hAnsi="DejaVu Serif" w:cs="Times New Roman"/>
          <w:sz w:val="24"/>
          <w:szCs w:val="24"/>
          <w:lang w:eastAsia="de-DE"/>
        </w:rPr>
        <w:t>, wie Sonderpädagogen, Sozialarbeitern und Lehrkräften, als unverzichtbar betrachtet, um den diversen Bedürfnissen der Schülerinnen und Schüler gerecht zu werden.</w:t>
      </w:r>
    </w:p>
    <w:p w:rsidR="00E75448" w:rsidRPr="00E75448" w:rsidRDefault="00E75448" w:rsidP="00E75448">
      <w:pPr>
        <w:rPr>
          <w:rFonts w:ascii="DejaVu Serif" w:eastAsia="Times New Roman" w:hAnsi="DejaVu Serif" w:cs="Times New Roman"/>
          <w:b/>
          <w:bCs/>
          <w:sz w:val="36"/>
          <w:szCs w:val="36"/>
          <w:lang w:eastAsia="de-DE"/>
        </w:rPr>
      </w:pPr>
      <w:r>
        <w:rPr>
          <w:rFonts w:ascii="DejaVu Serif" w:eastAsia="Times New Roman" w:hAnsi="DejaVu Serif" w:cs="Times New Roman"/>
          <w:b/>
          <w:bCs/>
          <w:sz w:val="36"/>
          <w:szCs w:val="36"/>
          <w:lang w:eastAsia="de-DE"/>
        </w:rPr>
        <w:t xml:space="preserve">     </w:t>
      </w:r>
      <w:r w:rsidRPr="00E75448">
        <w:rPr>
          <w:rFonts w:ascii="DejaVu Serif" w:eastAsia="Times New Roman" w:hAnsi="DejaVu Serif" w:cs="Times New Roman"/>
          <w:b/>
          <w:bCs/>
          <w:color w:val="E2EFD9" w:themeColor="accent6" w:themeTint="33"/>
          <w:sz w:val="36"/>
          <w:szCs w:val="36"/>
          <w:lang w:eastAsia="de-DE"/>
        </w:rPr>
        <w:t>Inklusion als dynamischer Prozess</w:t>
      </w:r>
    </w:p>
    <w:p w:rsidR="00E75448" w:rsidRDefault="00E75448" w:rsidP="00E75448">
      <w:pPr>
        <w:rPr>
          <w:rFonts w:ascii="DejaVu Serif" w:eastAsia="Times New Roman" w:hAnsi="DejaVu Serif" w:cs="Times New Roman"/>
          <w:sz w:val="24"/>
          <w:szCs w:val="24"/>
          <w:lang w:eastAsia="de-DE"/>
        </w:rPr>
      </w:pPr>
      <w:r>
        <w:rPr>
          <w:rFonts w:ascii="DejaVu Serif" w:eastAsia="Times New Roman" w:hAnsi="DejaVu Serif" w:cs="Times New Roman"/>
          <w:sz w:val="24"/>
          <w:szCs w:val="24"/>
          <w:lang w:eastAsia="de-DE"/>
        </w:rPr>
        <w:t xml:space="preserve">     </w:t>
      </w:r>
      <w:r w:rsidRPr="00E75448">
        <w:rPr>
          <w:rFonts w:ascii="DejaVu Serif" w:eastAsia="Times New Roman" w:hAnsi="DejaVu Serif" w:cs="Times New Roman"/>
          <w:sz w:val="24"/>
          <w:szCs w:val="24"/>
          <w:lang w:eastAsia="de-DE"/>
        </w:rPr>
        <w:t xml:space="preserve">Inklusion wird nicht als statischer Zustand verstanden, sondern als ein </w:t>
      </w:r>
      <w:r w:rsidRPr="00466803">
        <w:rPr>
          <w:rFonts w:ascii="DejaVu Serif" w:eastAsia="Times New Roman" w:hAnsi="DejaVu Serif" w:cs="Times New Roman"/>
          <w:b/>
          <w:sz w:val="24"/>
          <w:szCs w:val="24"/>
          <w:lang w:eastAsia="de-DE"/>
        </w:rPr>
        <w:t>dynamischer und kontinuierlicher Prozess</w:t>
      </w:r>
      <w:r w:rsidRPr="00E75448">
        <w:rPr>
          <w:rFonts w:ascii="DejaVu Serif" w:eastAsia="Times New Roman" w:hAnsi="DejaVu Serif" w:cs="Times New Roman"/>
          <w:sz w:val="24"/>
          <w:szCs w:val="24"/>
          <w:lang w:eastAsia="de-DE"/>
        </w:rPr>
        <w:t xml:space="preserve">, der </w:t>
      </w:r>
      <w:r w:rsidRPr="00466803">
        <w:rPr>
          <w:rFonts w:ascii="DejaVu Serif" w:eastAsia="Times New Roman" w:hAnsi="DejaVu Serif" w:cs="Times New Roman"/>
          <w:i/>
          <w:sz w:val="24"/>
          <w:szCs w:val="24"/>
          <w:lang w:eastAsia="de-DE"/>
        </w:rPr>
        <w:t>ständige Reflexion und Weiterentwicklung</w:t>
      </w:r>
      <w:r w:rsidRPr="00E75448">
        <w:rPr>
          <w:rFonts w:ascii="DejaVu Serif" w:eastAsia="Times New Roman" w:hAnsi="DejaVu Serif" w:cs="Times New Roman"/>
          <w:sz w:val="24"/>
          <w:szCs w:val="24"/>
          <w:lang w:eastAsia="de-DE"/>
        </w:rPr>
        <w:t xml:space="preserve"> erfordert. Eine zentrale Rolle spielt dabei die Haltung und das Engagement aller Beteiligten, insbesondere von Lehrkräften, Eltern und der Schulverwaltung. Es wird betont, dass strukturelle Veränderungen allein nicht ausreichen, sondern ein grundlegender Wandel in den Einstellungen und Haltungen notwendig ist. Insgesamt wird </w:t>
      </w:r>
      <w:r w:rsidRPr="00466803">
        <w:rPr>
          <w:rFonts w:ascii="DejaVu Serif" w:eastAsia="Times New Roman" w:hAnsi="DejaVu Serif" w:cs="Times New Roman"/>
          <w:i/>
          <w:sz w:val="24"/>
          <w:szCs w:val="24"/>
          <w:lang w:eastAsia="de-DE"/>
        </w:rPr>
        <w:t>Inklusion als ein komplexes Vorhaben</w:t>
      </w:r>
      <w:r w:rsidRPr="00E75448">
        <w:rPr>
          <w:rFonts w:ascii="DejaVu Serif" w:eastAsia="Times New Roman" w:hAnsi="DejaVu Serif" w:cs="Times New Roman"/>
          <w:sz w:val="24"/>
          <w:szCs w:val="24"/>
          <w:lang w:eastAsia="de-DE"/>
        </w:rPr>
        <w:t xml:space="preserve"> beschrieben, das sowohl organisatorische Anpassungen als auch eine </w:t>
      </w:r>
      <w:r w:rsidRPr="00466803">
        <w:rPr>
          <w:rFonts w:ascii="DejaVu Serif" w:eastAsia="Times New Roman" w:hAnsi="DejaVu Serif" w:cs="Times New Roman"/>
          <w:b/>
          <w:sz w:val="24"/>
          <w:szCs w:val="24"/>
          <w:lang w:eastAsia="de-DE"/>
        </w:rPr>
        <w:t>fortlaufende Bereitschaft zur Veränderung und Weiterentwicklung</w:t>
      </w:r>
      <w:r w:rsidRPr="00E75448">
        <w:rPr>
          <w:rFonts w:ascii="DejaVu Serif" w:eastAsia="Times New Roman" w:hAnsi="DejaVu Serif" w:cs="Times New Roman"/>
          <w:sz w:val="24"/>
          <w:szCs w:val="24"/>
          <w:lang w:eastAsia="de-DE"/>
        </w:rPr>
        <w:t xml:space="preserve"> voraussetzt.</w:t>
      </w:r>
    </w:p>
    <w:p w:rsidR="00741850" w:rsidRDefault="00E75448" w:rsidP="00E75448">
      <w:pPr>
        <w:rPr>
          <w:rFonts w:ascii="DejaVu Serif" w:hAnsi="DejaVu Serif"/>
          <w:i/>
          <w:color w:val="D9E2F3" w:themeColor="accent1" w:themeTint="33"/>
          <w:sz w:val="16"/>
          <w:szCs w:val="16"/>
        </w:rPr>
      </w:pPr>
      <w:r w:rsidRPr="00741850">
        <w:rPr>
          <w:rFonts w:ascii="DejaVu Serif" w:hAnsi="DejaVu Serif"/>
          <w:i/>
          <w:color w:val="D9E2F3" w:themeColor="accent1" w:themeTint="33"/>
          <w:sz w:val="16"/>
          <w:szCs w:val="16"/>
        </w:rPr>
        <w:t>Quelle</w:t>
      </w:r>
      <w:r w:rsidR="00741850">
        <w:rPr>
          <w:rFonts w:ascii="DejaVu Serif" w:hAnsi="DejaVu Serif"/>
          <w:i/>
          <w:color w:val="D9E2F3" w:themeColor="accent1" w:themeTint="33"/>
          <w:sz w:val="16"/>
          <w:szCs w:val="16"/>
        </w:rPr>
        <w:t>n:</w:t>
      </w:r>
    </w:p>
    <w:p w:rsidR="00E75448" w:rsidRPr="00741850" w:rsidRDefault="00741850" w:rsidP="00E75448">
      <w:pPr>
        <w:rPr>
          <w:rFonts w:ascii="DejaVu Serif" w:hAnsi="DejaVu Serif"/>
          <w:i/>
          <w:color w:val="D9E2F3" w:themeColor="accent1" w:themeTint="33"/>
          <w:sz w:val="16"/>
          <w:szCs w:val="16"/>
          <w14:textFill>
            <w14:solidFill>
              <w14:schemeClr w14:val="accent1">
                <w14:lumMod w14:val="20000"/>
                <w14:lumOff w14:val="80000"/>
                <w14:lumMod w14:val="20000"/>
                <w14:lumOff w14:val="80000"/>
              </w14:schemeClr>
            </w14:solidFill>
          </w14:textFill>
        </w:rPr>
      </w:pPr>
      <w:r w:rsidRPr="00741850">
        <w:rPr>
          <w:rFonts w:ascii="DejaVu Serif" w:hAnsi="DejaVu Serif"/>
          <w:i/>
          <w:color w:val="D9E2F3" w:themeColor="accent1" w:themeTint="33"/>
          <w:sz w:val="16"/>
          <w:szCs w:val="16"/>
        </w:rPr>
        <w:t>Anders, F. (2022): UN-Behindertenrechtskonvention. Inklusion in der Schule – wie die Umsetzung in Deutschland gelingt. In: Deutsches Schulportal der Robert Bosch Stiftung. Verfügbar unter:</w:t>
      </w:r>
      <w:r w:rsidRPr="00741850">
        <w:rPr>
          <w:rFonts w:ascii="DejaVu Serif" w:hAnsi="DejaVu Serif"/>
          <w:i/>
          <w:color w:val="D9E2F3" w:themeColor="accent1" w:themeTint="33"/>
          <w:sz w:val="16"/>
          <w:szCs w:val="16"/>
          <w14:textFill>
            <w14:solidFill>
              <w14:schemeClr w14:val="accent1">
                <w14:lumMod w14:val="20000"/>
                <w14:lumOff w14:val="80000"/>
                <w14:lumMod w14:val="20000"/>
                <w14:lumOff w14:val="80000"/>
              </w14:schemeClr>
            </w14:solidFill>
          </w14:textFill>
        </w:rPr>
        <w:t xml:space="preserve"> </w:t>
      </w:r>
      <w:hyperlink r:id="rId5" w:history="1">
        <w:r w:rsidRPr="00741850">
          <w:rPr>
            <w:rFonts w:ascii="DejaVu Serif" w:hAnsi="DejaVu Serif"/>
            <w:i/>
            <w:color w:val="D9E2F3" w:themeColor="accent1" w:themeTint="33"/>
            <w:sz w:val="16"/>
            <w:szCs w:val="16"/>
          </w:rPr>
          <w:t>https://deutsches-schulportal.de/schulkultur/inklusion-in-der-schule-wie-gelingt-die-umsetzung/</w:t>
        </w:r>
      </w:hyperlink>
      <w:r w:rsidRPr="00741850">
        <w:rPr>
          <w:rFonts w:ascii="DejaVu Serif" w:hAnsi="DejaVu Serif"/>
          <w:i/>
          <w:color w:val="D9E2F3" w:themeColor="accent1" w:themeTint="33"/>
          <w:sz w:val="16"/>
          <w:szCs w:val="16"/>
        </w:rPr>
        <w:t>. Abgerufen am: 23.01.2025.</w:t>
      </w:r>
    </w:p>
    <w:p w:rsidR="00E75448" w:rsidRPr="00E75448" w:rsidRDefault="00E75448" w:rsidP="00E75448">
      <w:pPr>
        <w:rPr>
          <w:rFonts w:ascii="DejaVu Serif" w:hAnsi="DejaVu Serif"/>
          <w:i/>
          <w:color w:val="D9E2F3" w:themeColor="accent1" w:themeTint="33"/>
          <w:sz w:val="16"/>
          <w:szCs w:val="16"/>
        </w:rPr>
      </w:pPr>
      <w:r>
        <w:rPr>
          <w:rFonts w:ascii="DejaVu Serif" w:hAnsi="DejaVu Serif"/>
          <w:i/>
          <w:color w:val="D9E2F3" w:themeColor="accent1" w:themeTint="33"/>
          <w:sz w:val="16"/>
          <w:szCs w:val="16"/>
        </w:rPr>
        <w:t xml:space="preserve">chatgpt.com, Prompt: </w:t>
      </w:r>
      <w:r w:rsidRPr="00E75448">
        <w:rPr>
          <w:rFonts w:ascii="DejaVu Serif" w:hAnsi="DejaVu Serif"/>
          <w:i/>
          <w:color w:val="D9E2F3" w:themeColor="accent1" w:themeTint="33"/>
          <w:sz w:val="16"/>
          <w:szCs w:val="16"/>
        </w:rPr>
        <w:t>Du bist wissenschaftlicher Mitarbeiter. Fasse mir den Inhalt der Webseite https://deutsches-schulportal.de/schulkultur/inklusion-in-der-schule-wie-gelingt-die-umsetzung/ zusammen. Verwende lange, verschachtelte Sätze. Verwende passive Formulierungen. Schreibe so oft es geht im Nominalstil. Verwende nach Möglichkeit viele Fremdwörter. Strukturiere den Text mit 3 Zwischen-Überschriften</w:t>
      </w:r>
      <w:r w:rsidR="00741850">
        <w:rPr>
          <w:rFonts w:ascii="DejaVu Serif" w:hAnsi="DejaVu Serif"/>
          <w:i/>
          <w:color w:val="D9E2F3" w:themeColor="accent1" w:themeTint="33"/>
          <w:sz w:val="16"/>
          <w:szCs w:val="16"/>
        </w:rPr>
        <w:t>. Verfügbar unter: chatgpt.com. Abgerufen am: 23.01.2025.</w:t>
      </w:r>
    </w:p>
    <w:sectPr w:rsidR="00E75448" w:rsidRPr="00E75448" w:rsidSect="00741850">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bert Sans">
    <w:panose1 w:val="00000000000000000000"/>
    <w:charset w:val="00"/>
    <w:family w:val="auto"/>
    <w:pitch w:val="variable"/>
    <w:sig w:usb0="A00000B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erif">
    <w:panose1 w:val="02060603050605020204"/>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23BC"/>
    <w:multiLevelType w:val="multilevel"/>
    <w:tmpl w:val="2FE60FE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28111F"/>
    <w:multiLevelType w:val="hybridMultilevel"/>
    <w:tmpl w:val="E460E7CC"/>
    <w:lvl w:ilvl="0" w:tplc="B73035F4">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48"/>
    <w:rsid w:val="00391143"/>
    <w:rsid w:val="00466803"/>
    <w:rsid w:val="004A1F03"/>
    <w:rsid w:val="0054718E"/>
    <w:rsid w:val="00741850"/>
    <w:rsid w:val="00930803"/>
    <w:rsid w:val="00E75448"/>
    <w:rsid w:val="00EB1AFE"/>
    <w:rsid w:val="00ED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8C55"/>
  <w15:chartTrackingRefBased/>
  <w15:docId w15:val="{6A35CC65-D9A3-41FC-B732-A3A9234D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bert Sans" w:eastAsiaTheme="minorHAnsi" w:hAnsi="Albert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1143"/>
  </w:style>
  <w:style w:type="paragraph" w:styleId="berschrift1">
    <w:name w:val="heading 1"/>
    <w:basedOn w:val="Standard"/>
    <w:next w:val="Standard"/>
    <w:link w:val="berschrift1Zchn"/>
    <w:uiPriority w:val="9"/>
    <w:rsid w:val="00391143"/>
    <w:pPr>
      <w:keepNext/>
      <w:keepLines/>
      <w:spacing w:before="240" w:after="0"/>
      <w:outlineLvl w:val="0"/>
    </w:pPr>
    <w:rPr>
      <w:rFonts w:eastAsiaTheme="majorEastAsia" w:cstheme="majorBidi"/>
      <w:sz w:val="32"/>
      <w:szCs w:val="32"/>
    </w:rPr>
  </w:style>
  <w:style w:type="paragraph" w:styleId="berschrift2">
    <w:name w:val="heading 2"/>
    <w:basedOn w:val="berschrift1"/>
    <w:next w:val="Standard"/>
    <w:link w:val="berschrift2Zchn"/>
    <w:uiPriority w:val="9"/>
    <w:unhideWhenUsed/>
    <w:rsid w:val="004A1F03"/>
    <w:pPr>
      <w:numPr>
        <w:numId w:val="2"/>
      </w:numPr>
      <w:spacing w:before="40"/>
      <w:ind w:left="1428" w:hanging="360"/>
      <w:outlineLvl w:val="1"/>
    </w:pPr>
    <w:rPr>
      <w:sz w:val="28"/>
      <w:szCs w:val="26"/>
    </w:rPr>
  </w:style>
  <w:style w:type="paragraph" w:styleId="berschrift3">
    <w:name w:val="heading 3"/>
    <w:basedOn w:val="Standard"/>
    <w:next w:val="Standard"/>
    <w:link w:val="berschrift3Zchn"/>
    <w:uiPriority w:val="9"/>
    <w:unhideWhenUsed/>
    <w:rsid w:val="00391143"/>
    <w:pPr>
      <w:keepNext/>
      <w:keepLines/>
      <w:spacing w:before="40" w:after="0"/>
      <w:ind w:left="708"/>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391143"/>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91143"/>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rsid w:val="00391143"/>
    <w:pPr>
      <w:numPr>
        <w:ilvl w:val="1"/>
      </w:numPr>
      <w:jc w:val="center"/>
    </w:pPr>
    <w:rPr>
      <w:rFonts w:eastAsiaTheme="minorEastAsia"/>
      <w:spacing w:val="15"/>
      <w:sz w:val="40"/>
    </w:rPr>
  </w:style>
  <w:style w:type="character" w:customStyle="1" w:styleId="UntertitelZchn">
    <w:name w:val="Untertitel Zchn"/>
    <w:basedOn w:val="Absatz-Standardschriftart"/>
    <w:link w:val="Untertitel"/>
    <w:uiPriority w:val="11"/>
    <w:rsid w:val="00391143"/>
    <w:rPr>
      <w:rFonts w:ascii="Arial" w:eastAsiaTheme="minorEastAsia" w:hAnsi="Arial"/>
      <w:spacing w:val="15"/>
      <w:sz w:val="40"/>
    </w:rPr>
  </w:style>
  <w:style w:type="character" w:customStyle="1" w:styleId="berschrift1Zchn">
    <w:name w:val="Überschrift 1 Zchn"/>
    <w:basedOn w:val="Absatz-Standardschriftart"/>
    <w:link w:val="berschrift1"/>
    <w:uiPriority w:val="9"/>
    <w:rsid w:val="00391143"/>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4A1F03"/>
    <w:rPr>
      <w:rFonts w:ascii="Arial" w:eastAsiaTheme="majorEastAsia" w:hAnsi="Arial" w:cstheme="majorBidi"/>
      <w:sz w:val="28"/>
      <w:szCs w:val="26"/>
    </w:rPr>
  </w:style>
  <w:style w:type="character" w:customStyle="1" w:styleId="berschrift3Zchn">
    <w:name w:val="Überschrift 3 Zchn"/>
    <w:basedOn w:val="Absatz-Standardschriftart"/>
    <w:link w:val="berschrift3"/>
    <w:uiPriority w:val="9"/>
    <w:rsid w:val="00391143"/>
    <w:rPr>
      <w:rFonts w:ascii="Arial" w:eastAsiaTheme="majorEastAsia" w:hAnsi="Arial" w:cstheme="majorBidi"/>
      <w:sz w:val="24"/>
      <w:szCs w:val="24"/>
    </w:rPr>
  </w:style>
  <w:style w:type="paragraph" w:styleId="StandardWeb">
    <w:name w:val="Normal (Web)"/>
    <w:basedOn w:val="Standard"/>
    <w:uiPriority w:val="99"/>
    <w:semiHidden/>
    <w:unhideWhenUsed/>
    <w:rsid w:val="00E754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75448"/>
    <w:rPr>
      <w:color w:val="0563C1" w:themeColor="hyperlink"/>
      <w:u w:val="single"/>
    </w:rPr>
  </w:style>
  <w:style w:type="character" w:styleId="NichtaufgelsteErwhnung">
    <w:name w:val="Unresolved Mention"/>
    <w:basedOn w:val="Absatz-Standardschriftart"/>
    <w:uiPriority w:val="99"/>
    <w:semiHidden/>
    <w:unhideWhenUsed/>
    <w:rsid w:val="00E7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260476">
      <w:bodyDiv w:val="1"/>
      <w:marLeft w:val="0"/>
      <w:marRight w:val="0"/>
      <w:marTop w:val="0"/>
      <w:marBottom w:val="0"/>
      <w:divBdr>
        <w:top w:val="none" w:sz="0" w:space="0" w:color="auto"/>
        <w:left w:val="none" w:sz="0" w:space="0" w:color="auto"/>
        <w:bottom w:val="none" w:sz="0" w:space="0" w:color="auto"/>
        <w:right w:val="none" w:sz="0" w:space="0" w:color="auto"/>
      </w:divBdr>
      <w:divsChild>
        <w:div w:id="449708900">
          <w:marLeft w:val="0"/>
          <w:marRight w:val="0"/>
          <w:marTop w:val="0"/>
          <w:marBottom w:val="0"/>
          <w:divBdr>
            <w:top w:val="none" w:sz="0" w:space="0" w:color="auto"/>
            <w:left w:val="none" w:sz="0" w:space="0" w:color="auto"/>
            <w:bottom w:val="none" w:sz="0" w:space="0" w:color="auto"/>
            <w:right w:val="none" w:sz="0" w:space="0" w:color="auto"/>
          </w:divBdr>
          <w:divsChild>
            <w:div w:id="1839732314">
              <w:marLeft w:val="0"/>
              <w:marRight w:val="0"/>
              <w:marTop w:val="0"/>
              <w:marBottom w:val="0"/>
              <w:divBdr>
                <w:top w:val="none" w:sz="0" w:space="0" w:color="auto"/>
                <w:left w:val="none" w:sz="0" w:space="0" w:color="auto"/>
                <w:bottom w:val="none" w:sz="0" w:space="0" w:color="auto"/>
                <w:right w:val="none" w:sz="0" w:space="0" w:color="auto"/>
              </w:divBdr>
              <w:divsChild>
                <w:div w:id="1841121431">
                  <w:marLeft w:val="0"/>
                  <w:marRight w:val="0"/>
                  <w:marTop w:val="0"/>
                  <w:marBottom w:val="0"/>
                  <w:divBdr>
                    <w:top w:val="none" w:sz="0" w:space="0" w:color="auto"/>
                    <w:left w:val="none" w:sz="0" w:space="0" w:color="auto"/>
                    <w:bottom w:val="none" w:sz="0" w:space="0" w:color="auto"/>
                    <w:right w:val="none" w:sz="0" w:space="0" w:color="auto"/>
                  </w:divBdr>
                  <w:divsChild>
                    <w:div w:id="527985274">
                      <w:marLeft w:val="0"/>
                      <w:marRight w:val="0"/>
                      <w:marTop w:val="0"/>
                      <w:marBottom w:val="0"/>
                      <w:divBdr>
                        <w:top w:val="none" w:sz="0" w:space="0" w:color="auto"/>
                        <w:left w:val="none" w:sz="0" w:space="0" w:color="auto"/>
                        <w:bottom w:val="none" w:sz="0" w:space="0" w:color="auto"/>
                        <w:right w:val="none" w:sz="0" w:space="0" w:color="auto"/>
                      </w:divBdr>
                      <w:divsChild>
                        <w:div w:id="1481507084">
                          <w:marLeft w:val="0"/>
                          <w:marRight w:val="0"/>
                          <w:marTop w:val="0"/>
                          <w:marBottom w:val="0"/>
                          <w:divBdr>
                            <w:top w:val="none" w:sz="0" w:space="0" w:color="auto"/>
                            <w:left w:val="none" w:sz="0" w:space="0" w:color="auto"/>
                            <w:bottom w:val="none" w:sz="0" w:space="0" w:color="auto"/>
                            <w:right w:val="none" w:sz="0" w:space="0" w:color="auto"/>
                          </w:divBdr>
                          <w:divsChild>
                            <w:div w:id="12235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utsches-schulportal.de/schulkultur/inklusion-in-der-schule-wie-gelingt-die-umsetz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Giebeler</dc:creator>
  <cp:keywords/>
  <dc:description/>
  <cp:lastModifiedBy>Ina Giebeler</cp:lastModifiedBy>
  <cp:revision>3</cp:revision>
  <dcterms:created xsi:type="dcterms:W3CDTF">2025-01-23T08:57:00Z</dcterms:created>
  <dcterms:modified xsi:type="dcterms:W3CDTF">2025-01-23T10:01:00Z</dcterms:modified>
</cp:coreProperties>
</file>